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Институты устойчивого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2CE94A" w:rsidR="00A77598" w:rsidRPr="005E038B" w:rsidRDefault="005E038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5DC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5DCC">
              <w:rPr>
                <w:rFonts w:ascii="Times New Roman" w:hAnsi="Times New Roman" w:cs="Times New Roman"/>
                <w:sz w:val="20"/>
                <w:szCs w:val="20"/>
              </w:rPr>
              <w:t>к.э.н, Семерова Екатерина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48AED9" w:rsidR="004475DA" w:rsidRPr="005E038B" w:rsidRDefault="005E038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C56D78" w14:textId="77777777" w:rsidR="00135DC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1323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_Toc196911323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3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250544C6" w14:textId="77777777" w:rsidR="00135DCC" w:rsidRDefault="003D23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24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_Toc196911324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3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562C31E6" w14:textId="77777777" w:rsidR="00135DCC" w:rsidRDefault="003D23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25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_Toc196911325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3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788339D0" w14:textId="77777777" w:rsidR="00135DCC" w:rsidRDefault="003D23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26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_Toc196911326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4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5D4DEB07" w14:textId="77777777" w:rsidR="00135DCC" w:rsidRDefault="003D23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27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_Toc196911327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16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113E5F29" w14:textId="77777777" w:rsidR="00135DCC" w:rsidRDefault="003D23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28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_Toc196911328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16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20D565CA" w14:textId="77777777" w:rsidR="00135DCC" w:rsidRDefault="003D23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29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_Toc196911329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16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35AEAB35" w14:textId="77777777" w:rsidR="00135DCC" w:rsidRDefault="003D23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30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_Toc196911330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17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08EAEC45" w14:textId="77777777" w:rsidR="00135DCC" w:rsidRDefault="003D23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31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_Toc196911331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17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3776C8A4" w14:textId="77777777" w:rsidR="00135DCC" w:rsidRDefault="003D23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32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_Toc196911332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18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62FC108C" w14:textId="77777777" w:rsidR="00135DCC" w:rsidRDefault="003D23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33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_Toc196911333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19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7B13A3F2" w14:textId="77777777" w:rsidR="00135DCC" w:rsidRDefault="003D23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34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_Toc196911334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21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3B8579FE" w14:textId="77777777" w:rsidR="00135DCC" w:rsidRDefault="003D23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35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_Toc196911335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21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0AA5E184" w14:textId="77777777" w:rsidR="00135DCC" w:rsidRDefault="003D23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36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_Toc196911336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21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18C92912" w14:textId="77777777" w:rsidR="00135DCC" w:rsidRDefault="003D23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37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_Toc196911337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21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78396024" w14:textId="77777777" w:rsidR="00135DCC" w:rsidRDefault="003D23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38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_Toc196911338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22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4C2A45A8" w14:textId="77777777" w:rsidR="00135DCC" w:rsidRDefault="003D23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39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_Toc196911339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22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0CBF0C2F" w14:textId="77777777" w:rsidR="00135DCC" w:rsidRDefault="003D23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1340" w:history="1">
            <w:r w:rsidR="00135DCC" w:rsidRPr="00491F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35DCC">
              <w:rPr>
                <w:noProof/>
                <w:webHidden/>
              </w:rPr>
              <w:tab/>
            </w:r>
            <w:r w:rsidR="00135DCC">
              <w:rPr>
                <w:noProof/>
                <w:webHidden/>
              </w:rPr>
              <w:fldChar w:fldCharType="begin"/>
            </w:r>
            <w:r w:rsidR="00135DCC">
              <w:rPr>
                <w:noProof/>
                <w:webHidden/>
              </w:rPr>
              <w:instrText xml:space="preserve"> PAGEREF _Toc196911340 \h </w:instrText>
            </w:r>
            <w:r w:rsidR="00135DCC">
              <w:rPr>
                <w:noProof/>
                <w:webHidden/>
              </w:rPr>
            </w:r>
            <w:r w:rsidR="00135DCC">
              <w:rPr>
                <w:noProof/>
                <w:webHidden/>
              </w:rPr>
              <w:fldChar w:fldCharType="separate"/>
            </w:r>
            <w:r w:rsidR="00135DCC">
              <w:rPr>
                <w:noProof/>
                <w:webHidden/>
              </w:rPr>
              <w:t>22</w:t>
            </w:r>
            <w:r w:rsidR="00135DC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113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AF098F4" w:rsidR="00751095" w:rsidRPr="00352B6F" w:rsidRDefault="00135DCC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теоретической базы знаний об эволюции институтов устойчивого развития и их роли в модернизационных процессах как в российской, так и в зарубежной экономике.Ключевым элементом является обучение методам сравнительного анализа, позволяющего оценить влияние различных институциональных факторов на развитие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11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Институты устойчивого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11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35DC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5D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5DC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5DC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5DC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5DC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5DC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35D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5DC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5D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</w:rPr>
              <w:t>ПК-1 - Способен выявлять социо-эколого-экономические проблемы устойчивого развития на глобальном, национальном, региональном и отраслевом уровнях, используя теории регионального роста и развития как в ретроспективном, так и современном контексте, на основе комплексного подхода, который включает в себя изучение различных факторов, влияющих на устойчивое развитие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5D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5DCC">
              <w:rPr>
                <w:rFonts w:ascii="Times New Roman" w:hAnsi="Times New Roman" w:cs="Times New Roman"/>
                <w:lang w:bidi="ru-RU"/>
              </w:rPr>
              <w:t>ПК-1.2 - Способен собрать/ найти необходимые данные и выполнить анализ экономических и социально-экономических показателей для обоснования направлений и параметров с учетом действующей нормативной правовой базы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8C66" w14:textId="5543A882" w:rsidR="00751095" w:rsidRPr="00135D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5DCC">
              <w:rPr>
                <w:rFonts w:ascii="Times New Roman" w:hAnsi="Times New Roman" w:cs="Times New Roman"/>
              </w:rPr>
              <w:t>Обучающие должны знать основные принципы устойчивого развития, включая экономическую, социальную и экологическую устойчивость, ключевые международные соглашения, такие как Парижское соглашение и Цели устойчивого развития (ЦУР), и их значение для глобального устойчивого развития.</w:t>
            </w:r>
            <w:r w:rsidR="00316402" w:rsidRPr="00135DCC">
              <w:rPr>
                <w:rFonts w:ascii="Times New Roman" w:hAnsi="Times New Roman" w:cs="Times New Roman"/>
              </w:rPr>
              <w:br/>
            </w:r>
            <w:r w:rsidRPr="00135D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5DCC">
              <w:rPr>
                <w:rFonts w:ascii="Times New Roman" w:hAnsi="Times New Roman" w:cs="Times New Roman"/>
              </w:rPr>
              <w:t>Выявить и проанализировать лучшие практики в управлении устойчивым развитием на примере различных стран и регионов, идентифицировать и анализировать интересы различных заинтересованных сторон (акционеров, клиентов, сотрудников, сообществ и других) в контексте управления устойчивым развитием, интерпретировать различные виды отчетов, включая отчеты о устойчивом развитии и интегрированные отчеты.</w:t>
            </w:r>
            <w:r w:rsidRPr="00135DC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5D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5D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5DCC">
              <w:rPr>
                <w:rFonts w:ascii="Times New Roman" w:hAnsi="Times New Roman" w:cs="Times New Roman"/>
              </w:rPr>
              <w:t>Разработкой методов оценки существенности для принятия обоснованных решений в области устойчивого развития,составлять отчеты о корпоративной устойчивости в соответствии с международными стандартами и рекомендациями.</w:t>
            </w:r>
            <w:r w:rsidRPr="00135DC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35DCC" w14:paraId="5BF85F8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0577C" w14:textId="77777777" w:rsidR="00751095" w:rsidRPr="00135D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</w:rPr>
              <w:t>ПК-9 - Владеет навыками анализа экономических процессов, оценки динамики социально-экономических показателей и индикаторов развития экономики, а также подготовки, разработки и реализации предложений в области государственной экономической политики и стратегических решений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8F3DB" w14:textId="77777777" w:rsidR="00751095" w:rsidRPr="00135D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5DCC">
              <w:rPr>
                <w:rFonts w:ascii="Times New Roman" w:hAnsi="Times New Roman" w:cs="Times New Roman"/>
                <w:lang w:bidi="ru-RU"/>
              </w:rPr>
              <w:t>ПК-9.3 - Способен разрабатывать и предлагать обоснованные рекомендации в области государственной экономической политики, участвуя в подготовке и реализации стратегических решений как на микроуровне (уровень отдельных предприятий и организаций), так и на макроуровне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00128" w14:textId="77777777" w:rsidR="00751095" w:rsidRPr="00135D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5DCC">
              <w:rPr>
                <w:rFonts w:ascii="Times New Roman" w:hAnsi="Times New Roman" w:cs="Times New Roman"/>
              </w:rPr>
              <w:t>Ключевые показатели эффективности (</w:t>
            </w:r>
            <w:r w:rsidR="00316402" w:rsidRPr="00135DCC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135DCC">
              <w:rPr>
                <w:rFonts w:ascii="Times New Roman" w:hAnsi="Times New Roman" w:cs="Times New Roman"/>
              </w:rPr>
              <w:t>), направленных на оценку устойчивости организаций и их воздействие на социальные и экологические факторы, знать процессы производства и выявлять возможности для повышения эффективности использования ресурсов, таких как вода, энергия и материалы, подходы к вовлечению сотрудников в инициативы по устойчивому развитию, направленные на укрепление корпоративной ответственности.</w:t>
            </w:r>
            <w:r w:rsidRPr="00135DCC">
              <w:rPr>
                <w:rFonts w:ascii="Times New Roman" w:hAnsi="Times New Roman" w:cs="Times New Roman"/>
              </w:rPr>
              <w:t xml:space="preserve"> </w:t>
            </w:r>
          </w:p>
          <w:p w14:paraId="3AD94B40" w14:textId="77777777" w:rsidR="00751095" w:rsidRPr="00135D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5DCC">
              <w:rPr>
                <w:rFonts w:ascii="Times New Roman" w:hAnsi="Times New Roman" w:cs="Times New Roman"/>
              </w:rPr>
              <w:t xml:space="preserve">Разработать и применять методы отслеживания и оценки эффективности устойчивых инициатив и проектов, а также устанавливать критерии для количественной и качественной оценки их результатов, анализировать практики сотрудничества между компаниями, институтами и заинтересованными сторонами, направленные на усиление устойчивости и создание совместных коммуникационных инициатив, критически оценивать примеры </w:t>
            </w:r>
            <w:r w:rsidR="00FD518F" w:rsidRPr="00135DCC">
              <w:rPr>
                <w:rFonts w:ascii="Times New Roman" w:hAnsi="Times New Roman" w:cs="Times New Roman"/>
                <w:lang w:val="en-US"/>
              </w:rPr>
              <w:t>greenwashing</w:t>
            </w:r>
            <w:r w:rsidR="00FD518F" w:rsidRPr="00135DCC">
              <w:rPr>
                <w:rFonts w:ascii="Times New Roman" w:hAnsi="Times New Roman" w:cs="Times New Roman"/>
              </w:rPr>
              <w:t>, определять его признаки и последствия для бренда и общества.</w:t>
            </w:r>
            <w:r w:rsidRPr="00135DCC">
              <w:rPr>
                <w:rFonts w:ascii="Times New Roman" w:hAnsi="Times New Roman" w:cs="Times New Roman"/>
              </w:rPr>
              <w:t xml:space="preserve">. </w:t>
            </w:r>
          </w:p>
          <w:p w14:paraId="3D28A96C" w14:textId="77777777" w:rsidR="00751095" w:rsidRPr="00135D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5D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5DCC">
              <w:rPr>
                <w:rFonts w:ascii="Times New Roman" w:hAnsi="Times New Roman" w:cs="Times New Roman"/>
              </w:rPr>
              <w:t>Умением разрабатывать стратегии внедрения принципов устойчивости в маркетинговые коммуникации, сопровождая их анализом текущих трендов и особенностей рынка, оценкой влияния современных технологий, таких как автоматизация и чистые технологии, на повышение ресурсной эффективности. Владеть умением разрабатывать критерии оценки корпоративной устойчивости на основе существующих индексов и рекомендовать способы их применения в инвестиционных стратегиях.</w:t>
            </w:r>
            <w:r w:rsidRPr="00135DC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35DC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13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Введение в устойчивое развитие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Введение в устойчивое развитие: определение  и основные концепции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Устойчивое развитие – это концепция, направленная на удовлетворение потребностей настоящего поколения без ущерба для возможностей будущих поколений. Исторически развитие устойчивости и Стокгольмская конференции 1972 года, где впервые были подняты вопросы охраны окружающей среды. Три столпа устойчивого развития: экологию, экономика и социальная справедливость. Экологическая устойчивость направлена на сохранение природных ресурсов и борьбу с изменением климата. Экономическая устойчивость обеспечивает стабильный рост и равномерное распределение ресурсов. Социальная справедливость гарантирует равные возможности и доступ к ресурсам для всех. Концепция устойчивого развития и ее  эволюция,  адаптация к новым вызовам, таким как пандемии и технологические достижения. Реализация программ устойчивого развития и сотрудничество правительств, бизнеса, общества и международных организаций. Основные цели устойчивого развития: борьба с бедностью, неравенством и изменением климата. Внедрение устойчивых практик и  создание долгосрочной стабильности и процветания.Устойчивое развитие как защита окружающей среды и комплексная концепция, требующая интеграции во все сферы жизни.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1E806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75F9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Глобальные цели устойчивого развития (SDGs): обзор и значимость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F7C2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17 Целей устойчивого развития, принятые в 2015 году ООН, которые направлены на решение глобальных проблем к 2030 году, включающие искоренение бедности, борьбу с голодом, обеспечение здоровья и качества образования и другие важные задачи, представляющие  собой универсальный вызов, требующий участия всех стран, независимо от уровня развития. Каждая цель имеет конкретные подцели и показатели для оценки прогресса.Их реализация требует объединения усилий правительств, бизнеса, НПО и гражданского общества. Цель №1 – искоренение бедности – является основой для достижения других глобальных задач. Цель, связанная с  климатическими особенностями, достижима только при осуществлении срочных мер для снижения выбросов парниковых газов.Цели устойчивого развития (ЦУР) как ориентир для разработки политики РФ в данной области. Достижение ЦУР и  создание более справедливого и устойчивого мира. Мониторинг прогресса ЦУР. Международное сотрудничество и его роль в реализации  ЦУР.  Взаимосвязь всех целей. Реализация целей и проблема финансирования. ЦУР- это не только план действий, но и вдохновение для будущих поколений.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A72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6C9B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9B1C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A9A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78714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CE1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Историческое развитие концепции устойчивого развития: от Стокгольмской конференции до наших дней.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4767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устойчивого развития и позиция мировой общественности после Стокгольмской конференции 1972 года — первой крупной международной встречи, посвященной проблемам окружающей среды. Доклад Комиссии Брундтланд 1987 года «Наше общее будущее» и устойчивое развитие как удовлетворение нынешних потребностей без ущерба для способности будущих поколений удовлетворять свои собственные потребности. Саммит Земли в Рио-де-Жанейро в 1992 году и ключевые документы, такие как Повестка дня на XXI век, Конвенция о биологическом разнообразии и Рамочная конвенция об изменении климата, способствующие достижению целей устойчивого развития. Принятие В 2000 году Организацией Объединенных Наций Целей развития тысячелетия (ЦРТ), которые послужили предшественниками ЦУР. Саммит Организации Объединенных Наций 2015 года и Цели в области устойчивого развития (ЦУР), включающие 17 целей и 169 задач для комплексного решения глобальных проблем. Парижское соглашение 2015 года, направленное на ограничение глобального потепления, соответствует ЦУР №13 по борьбе с изменением климата, подчеркивающее важность международного сотрудничества в целях сокращения выбросов парниковых газов. Конференция Рио+20 в 2012 году и приверженность целям устойчивого развития. Современное устойчивое развитие и проблема возобновляемых источников энергии, устойчивых технологий и решение проблемы неравенства.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306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FAD5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213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312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03E9B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813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принципы устойчивого развития: экология, экономика, социальная справедливость.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9DEB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Устойчивое развитие три ключевых принципах: экология, экономическое развитие, социальной справедливость. Экологическая устойчивость и сохранение природных ресурсов, снижение воздействия на окружающую среду. Экономическая устойчивость, стабильный рост и равномерное распределение ресурсов для удовлетворения потребностей текущего поколения. Социальная справедливость, гарантии равных возможностей, доступ к ресурсам и борьба с неравенством. Баланс экологической  и экономической составляющих, экономический рост не должен происходить за счёт разрушения окружающей среды. Социальная справедливость и необходимость соблюдения гендерного равенства, доступа к базовым услугам, таким как образование и здравоохранение с учетом интересы как текущего, так и будущих поколений. Применение принципов устойчивого развития и создание долгосрочной стабильности и процветания. Экология, экономика и социальная справедливость как основа для достижения глобальных целей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651F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86E0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55DB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D59E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DDA0B2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E5256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Глобальные институты устойчивого развития</w:t>
            </w:r>
          </w:p>
        </w:tc>
      </w:tr>
      <w:tr w:rsidR="005B37A7" w:rsidRPr="005B37A7" w14:paraId="6F9389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EA02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Роль Организации Объединённых Наций (ООН) в устойчивом развитии.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6618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Объединённых Наций (ООН) и ее роль в продвижении идей устойчивого развития на глобальном уровне. 17 Целей устойчивого развития, которые должны привести к решению ключевых мировых проблем к 2030 году. Повестка дня устойчивого развития 2015 г. (Agenda 2030). Деятельность</w:t>
            </w:r>
            <w:r w:rsidRPr="00352B6F">
              <w:rPr>
                <w:lang w:bidi="ru-RU"/>
              </w:rPr>
              <w:br/>
              <w:t>ООН по координации международных усилий по борьбе с изменением климата, бедностью и неравенством. ООН и разработке и подписанию международных соглашений, таких как Парижское соглашение по климату. Программы ООН, такие как "Зелёный климатический фонд"и поддержка стран в переходе к устойчивой энергетике. Специализированные агентства ООН, такие как UNDP, ЮНЕСКО и ВОЗ и  реализация  проектов, направленные на устойчивое развитие.  ЮНЕСКО и ее роль в продвижении образования, науки и культуры для устойчивого развития, реализация проектов, направленных на сохранение мирового культурного и природного наследия. Другие агентства ООН, такие как ВОЗ и  вопросы здравоохранения, важные для устойчивого развития. UNICEF и  защита прав детей, улучшении их условий жизни, способствующее устойчивому развитию.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968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87A7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CBE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71D2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4403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0517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Всемирный банк и его инициативы в области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556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Всемирный банк и его роль в финансировании проектов, направленных на устойчивое развитие, особенно в области инфраструктуры и социальных программ. Основная цель Всемирного банка — сокращение бедности и улучшение уровня жизни в развивающихся странах через устойчивые практики. Всемирный банк и его финансовая поддержка проектам, связанным с возобновляемой энергией, таким как строительство солнечных и ветровых электростанций. Инициатива "Зелёный климатический фонд" Всемирного банка и помощь развивающимся странам в адаптации к изменению климата. Всемирный банк и участие в проектах по улучшению доступа к чистой воде и санитарии, способствующих устойчивому развитию. Инициативы по устойчивому развитию сельского хозяйства с целью  повышения продуктивности и сокращения загрязнение окружающей среды. Сотрудничество Всемирный банка  с правительствами разных стран для достижения устойчивого  экономического роста. Инициативы, направленные на развитие новейших технологий, такие как цифровые платформы, повышающие  эффективность проектов устойчивого развития. Предоставление технической помощи странам для разработки и реализации устойчивых стратегий развития. Усилия Всемирного банка, направленные на обеспечение баланса между экономическим ростом, социальной справедливостью и экологической устойчивостью.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7497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EBA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72E1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4EEF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2065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4692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Программа развития ООН (UNDP): миссия и проекты.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70F1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Программа развития ООН (UNDP) и сокращение уровня бедности, улучшение качества жизни в развивающихся странах. Основная миссия UNDP — содействие устойчивому развитию через поддержку усилий различных стран и международного сотрудничества. UNDP и реализация проектов, направленных на повышение устойчивости к природным катастрофам и кризисам. Предоставление технической помощи и финансирование для поддержки малого и среднего бизнеса, способствующее экономическому росту. Активная работа UNDP над реализацией Целей устойчивого развития, особенно в области борьбы с бедностью и неравенством. UNDP И  инициативы по поддержке женщин и молодёжи для повышения их роли в устойчивом развитии.</w:t>
            </w:r>
            <w:r w:rsidRPr="00352B6F">
              <w:rPr>
                <w:lang w:bidi="ru-RU"/>
              </w:rPr>
              <w:br/>
              <w:t>Улучшение управления и укрепление различных институтов для обеспечения прозрачности их деятельности. UNDP и  реализация проектов по защите окружающей среды, сохранение лесов и борьба с изменением климата. Работа над улучшением доступа к качественному образованию и здравоохранению, долгосрочной стабильности и процветания в развивающихся странах.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E52A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A123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41F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4C7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29B340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E35E0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Российские институты общественного развития</w:t>
            </w:r>
          </w:p>
        </w:tc>
      </w:tr>
      <w:tr w:rsidR="005B37A7" w:rsidRPr="005B37A7" w14:paraId="57E1A3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2778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 Роль правительства РФ в распространении принципов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46F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Правительство Российской Федерации и его  роль в реализации политики устойчивого развития, направленной на баланс между экономическим ростом, экологией и социальной справедливостью. РФ и стратегию устойчивого развития до 2030 года, которая включает цели, аналогичным  целям устойчивого развития (SDGs). Правительство РФ и  реализация национальных проектов, направленных на улучшение качества жизни, образования, здравоохранения и экологической безопасности. Россия и Парижское соглашение. Деятельность правительства РФ по поддержанию развития возобновляемой энергетики, такой как энергия ветра и солнечная энергия. сохранение природных ресурсов, включая леса, воду и землю, для будущих поколений. РФ активно участвует в международном сотрудничестве по вопросам устойчивого развития, включая участие в инициативах ООН и других организаций. Поддержка малого и среднего бизнеса, стремление к экономическому росту и созданию рабочих мест. Реализация программ, направленных на улучшение городской среды, включая создание парков, благоустройство территорий и развитие общественного транспорта.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58C4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81E2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EAA5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1EF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6C5BA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5262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Местные власти и муниципальное управление в контексте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AAB1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Местные органы власти в РФ и их роль в реализации устойчивого развития на региональном и муниципальном уровнях. Муниципалитеты и их деятельность в  разработке и реализации программ, направленных на улучшение качества жизни населения. развитие инфраструктуры, включая транспорт, жильё и объекты социальной инфраструктуры. Местные власти и их участие в проектах по сохранению окружающей среды, таких как утилизация отходов и развитие системы рекультивации. Муниципальные программы и инициативы по энергосбережению и использованию возобновляемых источников энергии. Органы местного самоуправления и их сотрудничество с бизнесом и общественными организациями для реализации устойчивых инициатив. Москва, Санкт-Петербург и реализация проекта "Умный город", направленного на улучшение управления ресурсами и повышение качества жизни. Местные власти и адаптация федеральных стратегий устойчивого развития к особенностям своего региона. Муниципальное управление способствует вовлечению населения в процесс принятия решений, что повышает эффективность устойчивых практик. Местные органы власти РФ и их работа над созданием комфортной городской среды, включая развитие парков, скверов и пешеходных зон.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AE2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976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307A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E232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4EA4F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8ACA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Национальное законодательство и политика в области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415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Национальное законодательство Российской Федерации и  регулирование вопросов устойчивого развития через законы и нормативные акты, направленные на защиту окружающей среды и социальную справедливость. Федеральный закон "Об охране окружающей среды" и  основы экологической политики. Законодательство РФ и стандарты энергосбережения, повышения энергетической эффективности. Национальная политика в области изменения климата, сокращения выбросов парниковых газов и адаптации к климатическим изменениям. Законодательство РФ и поддержка развития возобновляемой энергетики. Национальное законодательство и регулирование использования природных ресурсов, таких как леса, вода и земля, для их устойчивого использования. Программы РФ, направленные на поддержку экологически чистого производства и снижение загрязнения окружающей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6F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A3DC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5913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42C7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05ABFD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BF9FC8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 Экономические аспекты устойчивого развития Российской Федерации</w:t>
            </w:r>
          </w:p>
        </w:tc>
      </w:tr>
      <w:tr w:rsidR="005B37A7" w:rsidRPr="005B37A7" w14:paraId="27BB9F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7F20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Зелёная экономика в России: концепции и принципы.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0CF1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Зеленая экономика в России как модель, ориентированная на устойчивое развитие и рациональное использование природных ресурсов. Основная концепция зеленой экономики -  снижение негативного воздействия на окружающую среду при одновременном обеспечении экономического роста. Переход к зеленой экономике в России и интеграция экологических, социальных и экономических аспектов в политику и стратегию развития страны.</w:t>
            </w:r>
            <w:r w:rsidRPr="00352B6F">
              <w:rPr>
                <w:lang w:bidi="ru-RU"/>
              </w:rPr>
              <w:br/>
              <w:t>Основные принципы зеленой экономики в России - ресурсосбережение, энергоэффективность и использование возобновляемых источников энергии. Повышение качества жизни граждан через улучшение состояния окружающей среды и доступ к экологически чистым продуктам, снижение выбросов парниковых газов и загрязняющих веществ. Государственные программы по поддержке зеленых инициатив и их роль в формировании новой экономики России. Модернизация энергетического сектора с переходом на возобновляемые источники энергии, такие как солнечная и ветряная энергия,как приоритет для России. Инвестиции в зеленую экономику и новые возможности для создания рабочих мест и стимулирования экономического роста.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BD8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D1B4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4D9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B0D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C0A52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DBF0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Финансирование устойчивого развития: механизмы и источники.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A6EF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Финансирование устойчивого развития в России, использование государственных и частных источников. Государственное софинансирование проектов, направленных на достижение устойчивого развития. Частные инвестиции в "зеленую" экономику. В России развиваются новые финансовые инструменты, такие как зеленые облигации. Государственная политика и развитие инфраструктуры, соответствующей принципам устойчивого развития. Программы по поддержке малых и средних предприятий в РФ, включающие механизмы финансирования экологически устойчивых инициатив. Финансирование проектов в области возобновляемых источников энергии и  создание благоприятной инвестиционной среды. Интеграция устойчивого развития в стратегию корпоративного управления российских компаний. Государственная поддержка исследований и разработок в области устойчивых технологий через гранты и субсидии. Программы экологической реабилитации и сохранения природных ресурсов и долгосрочное государственное финансирование.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2F17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B2DF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356B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733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F730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15B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Корпоративная социальная ответственность (КСО) и её роль в устойчивом развитии.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A75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Корпоративная социальная ответственность (КСО) в России как аспект устойчивого развития бизнеса и общества в целом. КСО и действия компаний, направленные на позитивное влияние на окружающую среду, общество и экономику. Российские компании и внедрение практики КСО, стремление соответствовать международным стандартам. Основные направления КСО в России: экологическая устойчивость, социальные инициативы и этическое ведение бизнеса. Устойчивое развитие требует от компаний не только достижения финансовых результатов, но и ответственности перед обществом.</w:t>
            </w:r>
            <w:r w:rsidRPr="00352B6F">
              <w:rPr>
                <w:lang w:bidi="ru-RU"/>
              </w:rPr>
              <w:br/>
              <w:t>Успешные примеры КСО в России: программы по охране окружающей среды, обучению и здравоохранению. КСО и привлечение инвестиций, так как инвесторы все чаще интересуются социальными и экологическими аспектами бизнеса. Важная часть КСО - прозрачность и отчетность, позволяющая показать обществу достижения компании в этой области. Роль лидеров, топ-менеджмента в продвижении КСО и формирование корпоративной культуры ответственного поведения. Образовательные программы по КСО  и помощь новым поколениям специалистов.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ECF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37DD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3CB9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B26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6759B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0422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Устойчивые финансовые модели: ESG (Environmental, Social, Governance). Российские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ED5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ESG (экологические, социальные и управленческие факторы) - важный аспект устойчивого финансового развития в России и во всем мире.</w:t>
            </w:r>
            <w:r w:rsidRPr="00352B6F">
              <w:rPr>
                <w:lang w:bidi="ru-RU"/>
              </w:rPr>
              <w:br/>
              <w:t>Экологические факторы в модели ESG и оценка воздействия российского бизнеса на окружающую среду и его усилия по сокращению углеродного следа.</w:t>
            </w:r>
            <w:r w:rsidRPr="00352B6F">
              <w:rPr>
                <w:lang w:bidi="ru-RU"/>
              </w:rPr>
              <w:br/>
              <w:t>Социальные факторы и внимание к отношению компании с сотрудниками, клиентами и обществом в целом, включая права человека и трудовую практику.</w:t>
            </w:r>
            <w:r w:rsidRPr="00352B6F">
              <w:rPr>
                <w:lang w:bidi="ru-RU"/>
              </w:rPr>
              <w:br/>
              <w:t>Управленческие факторы и качество корпоративного управления, прозрачность бизнеса, что особенно актуально для российских компаний. Внедрение ESG-принципов в России и недостаток стандартов, нормативных актов. Рост интереса к ESG со стороны российских инвесторов и потребителей и стимулирование компаний к адаптации устойчивых финансовых моделей.  Российские компании, применяющие ESG-принципы и доступ к международным финансам и инвестициям. ESG-отчетность как необходимый инструмент для привлечения капитала. Успешная реализация ESG в российских компаниях, обучение сотрудников и создание соответствующей корпоративной культуры. Интеграция ESG-принципов в стратегическое планирование и операционные процессы российских компаний. ESG - не только тренд, но и необходимость для выживания компаний и повышения уровня их конкурентоспособности на российском и международном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F3D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C80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F5C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E6B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61B4A4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D1725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Социальные институты в Российской федерации и устойчивое развитие</w:t>
            </w:r>
          </w:p>
        </w:tc>
      </w:tr>
      <w:tr w:rsidR="005B37A7" w:rsidRPr="005B37A7" w14:paraId="5C5B38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FCFF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 Образование для устойчивого развития: глобальные инициативы.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DFC1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Российское образование и интеграция принципов устойчивого развития в образовательные программы всех уровней. Внедрение курсов по экологии и устойчивому развитию в школьную программу. Университеты в России и их  участие в международных проектах, направленных на достижение целей устойчивого развития (ЦУР). Развитие партнерства с зарубежными университетами для обмена опытом в области устойчивого развития. Исследовательские программы, посвящённые климатическим изменениям и экосистемам в российских университетах. Государственная программа "Образование"и стратегии по эколого-ориентированному обучению, участие в различных конкурсах и проектах, направленных на популяризацию устойчивых практик.Система высшего образования и активное обсуждение вопросов интеграции устойчивого развития в научные исследования.</w:t>
            </w:r>
            <w:r w:rsidRPr="00352B6F">
              <w:rPr>
                <w:lang w:bidi="ru-RU"/>
              </w:rPr>
              <w:br/>
              <w:t>Устойчивое развитие как один из приоритетов в стратегии развития образования России до 2030 года.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1221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9A65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15A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5CE2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7F417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9CB2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Здравоохранение и устойчивое развитие: взаимосвязи и вызовы.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604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Здравоохранение в России играет ключевую роль в достижении целей устойчивого развития, обеспечивая доступность медицинских услуг для всех слоев населения.Неравномерное распределение медицинских ресурсов между регионами, как один из вызовов для устойчивого развития в сфере здравоохранения. Внедрение цифровых технологий в здравоохранение, повышение эффективности медицинских услуг и снижению затрат. Интеграция экологических аспектов в систему здравоохранения. Взаимосвязь между здравоохранением и устойчивым развитием в России в условиях глобальных кризисов. Устойчивое развитие, инвестиции в российские медицинские исследования и инновации для борьбы с новыми вызовами в области здоровья.</w:t>
            </w:r>
            <w:r w:rsidRPr="00352B6F">
              <w:rPr>
                <w:lang w:bidi="ru-RU"/>
              </w:rPr>
              <w:br/>
              <w:t>Внедрение принципов устойчивого развития в здравоохранение, снижение отходов медицинских учреждений и переход на экологически чистые технологии. Необходимость взаимодействия между российским государством, бизнесом и обществом для создания устойчивой системы здравоохранения, отвечающей современным вызовам.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6A4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FBDE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8FB0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ED5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27035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339D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Социальное обеспечение и справедливость в контексте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385A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Социальное обеспечение в России является важным инструментом для достижения справедливости и устойчивого развития. Сокращение бедности и обеспечение достойного уровня жизни для всех граждан, снижению социального неравенства и укреплению социальной сплоченности. как ключевые задачи социального обеспечения в контексте устойчивого развития. Устойчивое развитие в России и  создание инклюзивной системы социального обеспечения, учитывающей потребности всех слоев общества. Устойчивое развитие и  интеграция экологических принципов в социальную политику, например, поддержку "зеленых" рабочих мест. Необходимость взаимодействие между государством и бизнесом для создания устойчивой системы социальной поддержки. Социальное обеспечение в контексте устойчивого развития в России и его стремление к созданию условий для долгосрочного благополучия и справедливости в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07A6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8F44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471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ECCC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3D2ECB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AF5EC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VI.  Российские экологические институты и управление ресурсами. Технологии и инновации для устойчивого развития России</w:t>
            </w:r>
          </w:p>
        </w:tc>
      </w:tr>
      <w:tr w:rsidR="005B37A7" w:rsidRPr="005B37A7" w14:paraId="6AD955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CF97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 Экологические институты и их роль в устойчивом развитии.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E18E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Экологические институты в России и их ключевая роль в формировании и реализации государственной экологической политики. Они помогают формировать устойчивые практики в бизнесе, ориентированные на защиту окружающей среды, занимаются мониторингом состояния окружающей среды и разработкой рекомендаций по ее улучшению. Российские экологические институты и их участие в разработке и внедрении программ по охране биоразнообразия,повышению экологической грамотности населения через образовательные программы и инициативы.Экологические институты и  разработка нормативных актов, регулирующих использование природных ресурсов в рамках устойчивого развития. Развитие зеленых технологий и устойчивого сельского хозяйства как один из видов деятельности экологических институтов. Экологические институты в России как важное звено в обеспечении устойчивого развития и защиты окружающей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2A95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2B4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A359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9E7A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0B630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AC19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 Управление природными ресурсами и устойчивая энергетика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5AA8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природными ресурсами в России, включая воду, землю и леса, является ключевым аспектом концепции устойчивого развития.</w:t>
            </w:r>
            <w:r w:rsidRPr="00352B6F">
              <w:rPr>
                <w:lang w:bidi="ru-RU"/>
              </w:rPr>
              <w:br/>
              <w:t>Эффективное законодательство и нормативные акты, их роль в управлении природными ресурсами и их охране.Устойчивое управление природными ресурсами и принципы экономической эффективности и социальной справедливости. Стратегическое управление природными ресурсами в России как основа для достижения устойчивого развития и защиты окружающей среды. Устойчивая энергетика и ее особенности в России. Возобновляемые источники энергии, такие как солнечная, ветровая и гидроэнергия и их роль в сокращении выбросов парниковых газов. Переход к устойчивой энергетике в России, модернизация существующей энергетической инфраструктуры и внедрение новых технологий. Энергоэффективность и энергосбережение как ключевые принципы перехода к устойчивой энергетике. Государственная поддержка и инвестиции в возобновляемую энергетику.</w:t>
            </w:r>
            <w:r w:rsidRPr="00352B6F">
              <w:rPr>
                <w:lang w:bidi="ru-RU"/>
              </w:rPr>
              <w:br/>
              <w:t>Устойчивая энергетика и создание новых рабочих мест, развитие инновационных технологий. Внедрение "зеленых" тарифов и других экономических механизмов как  стимуляция развития возобновляемых источников энергии. Переход к возобновляемым источникам энергии в России как важный шаг на пути к достижению целей устойчивого развития и снижению экологического воздействия.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F76E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EB7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469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60D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E3017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7274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Цифровые технологии и их роль в устойчивом развитии.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32C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технологии в России и переход к устойчивому развитию. Внедрение цифровых решений в энергетике,  оптимизация потребления ресурсов и снижение углеродного следа. Цифровизация сельского хозяйства и повышение урожайности, минимизация воздействие на окружающую среду.</w:t>
            </w:r>
            <w:r w:rsidRPr="00352B6F">
              <w:rPr>
                <w:lang w:bidi="ru-RU"/>
              </w:rPr>
              <w:br/>
              <w:t>Российские "умные города", в которых цифровые технологии улучшают качество жизни и снижают экологическую нагрузку."Умные города" в России как инновационные проекты, направленные на создание устойчивой инфраструктуры. Внедрение цифровых технологий в городское управление и  оптимизация использования ресурсов. Активное использование интеллектуальных систем управления энергопотреблением в "умных городах" России.</w:t>
            </w:r>
            <w:r w:rsidRPr="00352B6F">
              <w:rPr>
                <w:lang w:bidi="ru-RU"/>
              </w:rPr>
              <w:br/>
              <w:t>Цифровые платформы в "умных городах" и помощь получения доступа к экологически чистым услугам. Устойчивая инфраструктура "умных городах" в России и достижение целей устойчивого развития ООН. Развитие цифровой экономики в России стимулирует инновации в области экологически чистых технологий. Цифровые технологии и их роль в мониторинге и управлении природными ресурсами. Внедрение искусственного интеллекта в промышленности позволяет снизить отходы и повысить энергоэффективность. Цифровизация образования и  распространение знаний об устойчивом развитии. Электронные государственные услуги и сокращение бумажный документооборота. Цифровые технологии и помощь в борьбе с изменением климата через анализ данных и прогнозирования. Цифровые технологии и развитие циркулярной экономики, где отходы превращаются в ресурсы.</w:t>
            </w:r>
            <w:r w:rsidRPr="00352B6F">
              <w:rPr>
                <w:lang w:bidi="ru-RU"/>
              </w:rPr>
              <w:br/>
              <w:t>В России цифровые технологии становятся важным инструментом для достижения целей устойчивого развития ООН. Внедрение цифровых платформ для мониторинга экологической ситуации, что помогает оперативно реагировать на природные угрозы.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CC2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FE51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8CEB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CA2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91132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13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1FA4781E" w:rsidR="00262CF0" w:rsidRPr="00135DCC" w:rsidRDefault="00984247" w:rsidP="00135DCC">
            <w:pPr>
              <w:rPr>
                <w:rFonts w:ascii="Times New Roman" w:hAnsi="Times New Roman" w:cs="Times New Roman"/>
                <w:lang w:bidi="ru-RU"/>
              </w:rPr>
            </w:pPr>
            <w:r w:rsidRPr="00135DCC">
              <w:rPr>
                <w:rFonts w:ascii="Times New Roman" w:hAnsi="Times New Roman" w:cs="Times New Roman"/>
                <w:sz w:val="24"/>
                <w:szCs w:val="24"/>
              </w:rPr>
              <w:t>1. Роик, В. Д. Экономика развития: неравенство, бедность и развитие : учебное пособие</w:t>
            </w:r>
            <w:r w:rsidRPr="00135DCC">
              <w:rPr>
                <w:rFonts w:ascii="Times New Roman" w:hAnsi="Times New Roman" w:cs="Times New Roman"/>
                <w:sz w:val="24"/>
                <w:szCs w:val="24"/>
              </w:rPr>
              <w:br/>
              <w:t>для вузов / В. Д. Роик. — Москва : Издательство Юрайт, 2024 — 474 с. — (Высшее</w:t>
            </w:r>
            <w:r w:rsidRPr="00135D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образование). 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D23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https://urait.ru/bcode/542870</w:t>
              </w:r>
            </w:hyperlink>
          </w:p>
        </w:tc>
      </w:tr>
      <w:tr w:rsidR="00262CF0" w:rsidRPr="007E6725" w14:paraId="2B2421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0626EA" w14:textId="03A0D82A" w:rsidR="00262CF0" w:rsidRPr="00135DCC" w:rsidRDefault="00984247" w:rsidP="00135DCC">
            <w:pPr>
              <w:rPr>
                <w:rFonts w:ascii="Times New Roman" w:hAnsi="Times New Roman" w:cs="Times New Roman"/>
                <w:lang w:bidi="ru-RU"/>
              </w:rPr>
            </w:pPr>
            <w:r w:rsidRPr="00135DCC">
              <w:rPr>
                <w:rFonts w:ascii="Times New Roman" w:hAnsi="Times New Roman" w:cs="Times New Roman"/>
                <w:sz w:val="24"/>
                <w:szCs w:val="24"/>
              </w:rPr>
              <w:t>2. Ануфриев, В. П. Устойчивое развитие. Энергоэффективность. Зеленая экономика :</w:t>
            </w:r>
            <w:r w:rsidRPr="00135DCC">
              <w:rPr>
                <w:rFonts w:ascii="Times New Roman" w:hAnsi="Times New Roman" w:cs="Times New Roman"/>
                <w:sz w:val="24"/>
                <w:szCs w:val="24"/>
              </w:rPr>
              <w:br/>
              <w:t>монография / В.П. Ануфриев, Ю.В. Гудим, А.А. Каминов. — Москва : ИНФРА-М, 2022 — 201</w:t>
            </w:r>
            <w:r w:rsidRPr="00135DCC">
              <w:rPr>
                <w:rFonts w:ascii="Times New Roman" w:hAnsi="Times New Roman" w:cs="Times New Roman"/>
                <w:sz w:val="24"/>
                <w:szCs w:val="24"/>
              </w:rPr>
              <w:br/>
              <w:t>с. — (Научная мысль). 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0FD325" w14:textId="77777777" w:rsidR="00262CF0" w:rsidRPr="00135DCC" w:rsidRDefault="003D23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https://znanium.com/catalog/product/1832665</w:t>
              </w:r>
            </w:hyperlink>
          </w:p>
        </w:tc>
      </w:tr>
      <w:tr w:rsidR="00262CF0" w:rsidRPr="007E6725" w14:paraId="6BB0D1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1713E1" w14:textId="4C917EC0" w:rsidR="00262CF0" w:rsidRPr="00135DCC" w:rsidRDefault="00984247" w:rsidP="00135DCC">
            <w:pPr>
              <w:rPr>
                <w:rFonts w:ascii="Times New Roman" w:hAnsi="Times New Roman" w:cs="Times New Roman"/>
                <w:lang w:bidi="ru-RU"/>
              </w:rPr>
            </w:pPr>
            <w:r w:rsidRPr="00135DCC">
              <w:rPr>
                <w:rFonts w:ascii="Times New Roman" w:hAnsi="Times New Roman" w:cs="Times New Roman"/>
                <w:sz w:val="24"/>
                <w:szCs w:val="24"/>
              </w:rPr>
              <w:t>3. Каракеян, В. И. Экономика природопользования : учебник для вузов /</w:t>
            </w:r>
            <w:r w:rsidRPr="00135DCC">
              <w:rPr>
                <w:rFonts w:ascii="Times New Roman" w:hAnsi="Times New Roman" w:cs="Times New Roman"/>
                <w:sz w:val="24"/>
                <w:szCs w:val="24"/>
              </w:rPr>
              <w:br/>
              <w:t>В. И. Каракеян. — 3-е изд., перераб. и доп. — Москва : Издательство Юрайт, 2024 — 330 с. —</w:t>
            </w:r>
            <w:r w:rsidRPr="00135D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(Высшее образование). 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625703" w14:textId="77777777" w:rsidR="00262CF0" w:rsidRPr="007E6725" w:rsidRDefault="003D23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https://urait.ru/bcode/535501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9113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BCDBBB" w14:textId="77777777" w:rsidTr="007B550D">
        <w:tc>
          <w:tcPr>
            <w:tcW w:w="9345" w:type="dxa"/>
          </w:tcPr>
          <w:p w14:paraId="795D2E0F" w14:textId="77777777" w:rsidR="007B550D" w:rsidRPr="00135DCC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5DCC">
              <w:rPr>
                <w:rFonts w:ascii="Times New Roman" w:hAnsi="Times New Roman" w:cs="Times New Roman"/>
                <w:sz w:val="26"/>
                <w:szCs w:val="26"/>
              </w:rPr>
              <w:t xml:space="preserve">-  1С: Предприятие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ITIL</w:t>
            </w:r>
            <w:r w:rsidRPr="00135DCC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информационными технологиями предприятия Стандарт</w:t>
            </w:r>
          </w:p>
        </w:tc>
      </w:tr>
      <w:tr w:rsidR="007B550D" w:rsidRPr="007E6725" w14:paraId="20FE79B3" w14:textId="77777777" w:rsidTr="007B550D">
        <w:tc>
          <w:tcPr>
            <w:tcW w:w="9345" w:type="dxa"/>
          </w:tcPr>
          <w:p w14:paraId="164646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5B84791" w14:textId="77777777" w:rsidTr="007B550D">
        <w:tc>
          <w:tcPr>
            <w:tcW w:w="9345" w:type="dxa"/>
          </w:tcPr>
          <w:p w14:paraId="5D8F83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FC4304" w14:textId="77777777" w:rsidTr="007B550D">
        <w:tc>
          <w:tcPr>
            <w:tcW w:w="9345" w:type="dxa"/>
          </w:tcPr>
          <w:p w14:paraId="699E6E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B64167" w14:textId="77777777" w:rsidTr="007B550D">
        <w:tc>
          <w:tcPr>
            <w:tcW w:w="9345" w:type="dxa"/>
          </w:tcPr>
          <w:p w14:paraId="51A3E5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13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D23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911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35DC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35DC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5DC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35DC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5DC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35DC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35D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5DCC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35DCC">
              <w:rPr>
                <w:sz w:val="22"/>
                <w:szCs w:val="22"/>
                <w:lang w:val="en-US"/>
              </w:rPr>
              <w:t>Lenovo</w:t>
            </w:r>
            <w:r w:rsidRPr="00135DCC">
              <w:rPr>
                <w:sz w:val="22"/>
                <w:szCs w:val="22"/>
              </w:rPr>
              <w:t xml:space="preserve"> тип 1 (</w:t>
            </w:r>
            <w:r w:rsidRPr="00135DCC">
              <w:rPr>
                <w:sz w:val="22"/>
                <w:szCs w:val="22"/>
                <w:lang w:val="en-US"/>
              </w:rPr>
              <w:t>Core</w:t>
            </w:r>
            <w:r w:rsidRPr="00135DCC">
              <w:rPr>
                <w:sz w:val="22"/>
                <w:szCs w:val="22"/>
              </w:rPr>
              <w:t xml:space="preserve"> </w:t>
            </w:r>
            <w:r w:rsidRPr="00135DCC">
              <w:rPr>
                <w:sz w:val="22"/>
                <w:szCs w:val="22"/>
                <w:lang w:val="en-US"/>
              </w:rPr>
              <w:t>I</w:t>
            </w:r>
            <w:r w:rsidRPr="00135DCC">
              <w:rPr>
                <w:sz w:val="22"/>
                <w:szCs w:val="22"/>
              </w:rPr>
              <w:t xml:space="preserve">3 2100+монитор </w:t>
            </w:r>
            <w:r w:rsidRPr="00135DCC">
              <w:rPr>
                <w:sz w:val="22"/>
                <w:szCs w:val="22"/>
                <w:lang w:val="en-US"/>
              </w:rPr>
              <w:t>Acer</w:t>
            </w:r>
            <w:r w:rsidRPr="00135DCC">
              <w:rPr>
                <w:sz w:val="22"/>
                <w:szCs w:val="22"/>
              </w:rPr>
              <w:t xml:space="preserve"> </w:t>
            </w:r>
            <w:r w:rsidRPr="00135DCC">
              <w:rPr>
                <w:sz w:val="22"/>
                <w:szCs w:val="22"/>
                <w:lang w:val="en-US"/>
              </w:rPr>
              <w:t>V</w:t>
            </w:r>
            <w:r w:rsidRPr="00135DCC">
              <w:rPr>
                <w:sz w:val="22"/>
                <w:szCs w:val="22"/>
              </w:rPr>
              <w:t xml:space="preserve">193) - 1 шт., Интерактивный проектор </w:t>
            </w:r>
            <w:r w:rsidRPr="00135DCC">
              <w:rPr>
                <w:sz w:val="22"/>
                <w:szCs w:val="22"/>
                <w:lang w:val="en-US"/>
              </w:rPr>
              <w:t>Epson</w:t>
            </w:r>
            <w:r w:rsidRPr="00135DCC">
              <w:rPr>
                <w:sz w:val="22"/>
                <w:szCs w:val="22"/>
              </w:rPr>
              <w:t xml:space="preserve"> </w:t>
            </w:r>
            <w:r w:rsidRPr="00135DCC">
              <w:rPr>
                <w:sz w:val="22"/>
                <w:szCs w:val="22"/>
                <w:lang w:val="en-US"/>
              </w:rPr>
              <w:t>EB</w:t>
            </w:r>
            <w:r w:rsidRPr="00135DCC">
              <w:rPr>
                <w:sz w:val="22"/>
                <w:szCs w:val="22"/>
              </w:rPr>
              <w:t>-485</w:t>
            </w:r>
            <w:r w:rsidRPr="00135DCC">
              <w:rPr>
                <w:sz w:val="22"/>
                <w:szCs w:val="22"/>
                <w:lang w:val="en-US"/>
              </w:rPr>
              <w:t>Wi</w:t>
            </w:r>
            <w:r w:rsidRPr="00135DC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35D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5D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35DCC" w14:paraId="2ED28AEC" w14:textId="77777777" w:rsidTr="008416EB">
        <w:tc>
          <w:tcPr>
            <w:tcW w:w="7797" w:type="dxa"/>
            <w:shd w:val="clear" w:color="auto" w:fill="auto"/>
          </w:tcPr>
          <w:p w14:paraId="45F7D865" w14:textId="77777777" w:rsidR="002C735C" w:rsidRPr="00135D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5DCC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135DCC">
              <w:rPr>
                <w:sz w:val="22"/>
                <w:szCs w:val="22"/>
                <w:lang w:val="en-US"/>
              </w:rPr>
              <w:t>Intel</w:t>
            </w:r>
            <w:r w:rsidRPr="00135DCC">
              <w:rPr>
                <w:sz w:val="22"/>
                <w:szCs w:val="22"/>
              </w:rPr>
              <w:t xml:space="preserve"> </w:t>
            </w:r>
            <w:r w:rsidRPr="00135DCC">
              <w:rPr>
                <w:sz w:val="22"/>
                <w:szCs w:val="22"/>
                <w:lang w:val="en-US"/>
              </w:rPr>
              <w:t>i</w:t>
            </w:r>
            <w:r w:rsidRPr="00135DCC">
              <w:rPr>
                <w:sz w:val="22"/>
                <w:szCs w:val="22"/>
              </w:rPr>
              <w:t xml:space="preserve">3-2100 2.4 </w:t>
            </w:r>
            <w:r w:rsidRPr="00135DCC">
              <w:rPr>
                <w:sz w:val="22"/>
                <w:szCs w:val="22"/>
                <w:lang w:val="en-US"/>
              </w:rPr>
              <w:t>Ghz</w:t>
            </w:r>
            <w:r w:rsidRPr="00135DCC">
              <w:rPr>
                <w:sz w:val="22"/>
                <w:szCs w:val="22"/>
              </w:rPr>
              <w:t>/500/4/</w:t>
            </w:r>
            <w:r w:rsidRPr="00135DCC">
              <w:rPr>
                <w:sz w:val="22"/>
                <w:szCs w:val="22"/>
                <w:lang w:val="en-US"/>
              </w:rPr>
              <w:t>Acer</w:t>
            </w:r>
            <w:r w:rsidRPr="00135DCC">
              <w:rPr>
                <w:sz w:val="22"/>
                <w:szCs w:val="22"/>
              </w:rPr>
              <w:t xml:space="preserve"> </w:t>
            </w:r>
            <w:r w:rsidRPr="00135DCC">
              <w:rPr>
                <w:sz w:val="22"/>
                <w:szCs w:val="22"/>
                <w:lang w:val="en-US"/>
              </w:rPr>
              <w:t>V</w:t>
            </w:r>
            <w:r w:rsidRPr="00135DCC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35DCC">
              <w:rPr>
                <w:sz w:val="22"/>
                <w:szCs w:val="22"/>
                <w:lang w:val="en-US"/>
              </w:rPr>
              <w:t>Epson</w:t>
            </w:r>
            <w:r w:rsidRPr="00135DCC">
              <w:rPr>
                <w:sz w:val="22"/>
                <w:szCs w:val="22"/>
              </w:rPr>
              <w:t>-</w:t>
            </w:r>
            <w:r w:rsidRPr="00135DCC">
              <w:rPr>
                <w:sz w:val="22"/>
                <w:szCs w:val="22"/>
                <w:lang w:val="en-US"/>
              </w:rPr>
              <w:t>EB</w:t>
            </w:r>
            <w:r w:rsidRPr="00135DCC">
              <w:rPr>
                <w:sz w:val="22"/>
                <w:szCs w:val="22"/>
              </w:rPr>
              <w:t>-455</w:t>
            </w:r>
            <w:r w:rsidRPr="00135DCC">
              <w:rPr>
                <w:sz w:val="22"/>
                <w:szCs w:val="22"/>
                <w:lang w:val="en-US"/>
              </w:rPr>
              <w:t>Wi</w:t>
            </w:r>
            <w:r w:rsidRPr="00135DC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357B93" w14:textId="77777777" w:rsidR="002C735C" w:rsidRPr="00135D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5D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35DCC" w14:paraId="21EA3E6B" w14:textId="77777777" w:rsidTr="008416EB">
        <w:tc>
          <w:tcPr>
            <w:tcW w:w="7797" w:type="dxa"/>
            <w:shd w:val="clear" w:color="auto" w:fill="auto"/>
          </w:tcPr>
          <w:p w14:paraId="5E285560" w14:textId="77777777" w:rsidR="002C735C" w:rsidRPr="00135D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5DC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35DCC">
              <w:rPr>
                <w:sz w:val="22"/>
                <w:szCs w:val="22"/>
                <w:lang w:val="en-US"/>
              </w:rPr>
              <w:t>Intel</w:t>
            </w:r>
            <w:r w:rsidRPr="00135DCC">
              <w:rPr>
                <w:sz w:val="22"/>
                <w:szCs w:val="22"/>
              </w:rPr>
              <w:t xml:space="preserve"> </w:t>
            </w:r>
            <w:r w:rsidRPr="00135DCC">
              <w:rPr>
                <w:sz w:val="22"/>
                <w:szCs w:val="22"/>
                <w:lang w:val="en-US"/>
              </w:rPr>
              <w:t>I</w:t>
            </w:r>
            <w:r w:rsidRPr="00135DCC">
              <w:rPr>
                <w:sz w:val="22"/>
                <w:szCs w:val="22"/>
              </w:rPr>
              <w:t>5-7400/16</w:t>
            </w:r>
            <w:r w:rsidRPr="00135DCC">
              <w:rPr>
                <w:sz w:val="22"/>
                <w:szCs w:val="22"/>
                <w:lang w:val="en-US"/>
              </w:rPr>
              <w:t>Gb</w:t>
            </w:r>
            <w:r w:rsidRPr="00135DCC">
              <w:rPr>
                <w:sz w:val="22"/>
                <w:szCs w:val="22"/>
              </w:rPr>
              <w:t>/1</w:t>
            </w:r>
            <w:r w:rsidRPr="00135DCC">
              <w:rPr>
                <w:sz w:val="22"/>
                <w:szCs w:val="22"/>
                <w:lang w:val="en-US"/>
              </w:rPr>
              <w:t>Tb</w:t>
            </w:r>
            <w:r w:rsidRPr="00135DCC">
              <w:rPr>
                <w:sz w:val="22"/>
                <w:szCs w:val="22"/>
              </w:rPr>
              <w:t xml:space="preserve">/ видеокарта </w:t>
            </w:r>
            <w:r w:rsidRPr="00135DCC">
              <w:rPr>
                <w:sz w:val="22"/>
                <w:szCs w:val="22"/>
                <w:lang w:val="en-US"/>
              </w:rPr>
              <w:t>NVIDIA</w:t>
            </w:r>
            <w:r w:rsidRPr="00135DCC">
              <w:rPr>
                <w:sz w:val="22"/>
                <w:szCs w:val="22"/>
              </w:rPr>
              <w:t xml:space="preserve"> </w:t>
            </w:r>
            <w:r w:rsidRPr="00135DCC">
              <w:rPr>
                <w:sz w:val="22"/>
                <w:szCs w:val="22"/>
                <w:lang w:val="en-US"/>
              </w:rPr>
              <w:t>GeForce</w:t>
            </w:r>
            <w:r w:rsidRPr="00135DCC">
              <w:rPr>
                <w:sz w:val="22"/>
                <w:szCs w:val="22"/>
              </w:rPr>
              <w:t xml:space="preserve"> </w:t>
            </w:r>
            <w:r w:rsidRPr="00135DCC">
              <w:rPr>
                <w:sz w:val="22"/>
                <w:szCs w:val="22"/>
                <w:lang w:val="en-US"/>
              </w:rPr>
              <w:t>GT</w:t>
            </w:r>
            <w:r w:rsidRPr="00135DCC">
              <w:rPr>
                <w:sz w:val="22"/>
                <w:szCs w:val="22"/>
              </w:rPr>
              <w:t xml:space="preserve"> 710/Монитор </w:t>
            </w:r>
            <w:r w:rsidRPr="00135DCC">
              <w:rPr>
                <w:sz w:val="22"/>
                <w:szCs w:val="22"/>
                <w:lang w:val="en-US"/>
              </w:rPr>
              <w:t>DELL</w:t>
            </w:r>
            <w:r w:rsidRPr="00135DCC">
              <w:rPr>
                <w:sz w:val="22"/>
                <w:szCs w:val="22"/>
              </w:rPr>
              <w:t xml:space="preserve"> </w:t>
            </w:r>
            <w:r w:rsidRPr="00135DCC">
              <w:rPr>
                <w:sz w:val="22"/>
                <w:szCs w:val="22"/>
                <w:lang w:val="en-US"/>
              </w:rPr>
              <w:t>S</w:t>
            </w:r>
            <w:r w:rsidRPr="00135DCC">
              <w:rPr>
                <w:sz w:val="22"/>
                <w:szCs w:val="22"/>
              </w:rPr>
              <w:t>2218</w:t>
            </w:r>
            <w:r w:rsidRPr="00135DCC">
              <w:rPr>
                <w:sz w:val="22"/>
                <w:szCs w:val="22"/>
                <w:lang w:val="en-US"/>
              </w:rPr>
              <w:t>H</w:t>
            </w:r>
            <w:r w:rsidRPr="00135DC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135DCC">
              <w:rPr>
                <w:sz w:val="22"/>
                <w:szCs w:val="22"/>
                <w:lang w:val="en-US"/>
              </w:rPr>
              <w:t>ProCurve</w:t>
            </w:r>
            <w:r w:rsidRPr="00135DCC">
              <w:rPr>
                <w:sz w:val="22"/>
                <w:szCs w:val="22"/>
              </w:rPr>
              <w:t xml:space="preserve"> </w:t>
            </w:r>
            <w:r w:rsidRPr="00135DCC">
              <w:rPr>
                <w:sz w:val="22"/>
                <w:szCs w:val="22"/>
                <w:lang w:val="en-US"/>
              </w:rPr>
              <w:t>Switch</w:t>
            </w:r>
            <w:r w:rsidRPr="00135DCC">
              <w:rPr>
                <w:sz w:val="22"/>
                <w:szCs w:val="22"/>
              </w:rPr>
              <w:t xml:space="preserve"> 2626 - 1 шт., Мультимедийный проектор </w:t>
            </w:r>
            <w:r w:rsidRPr="00135DCC">
              <w:rPr>
                <w:sz w:val="22"/>
                <w:szCs w:val="22"/>
                <w:lang w:val="en-US"/>
              </w:rPr>
              <w:t>Optoma</w:t>
            </w:r>
            <w:r w:rsidRPr="00135DCC">
              <w:rPr>
                <w:sz w:val="22"/>
                <w:szCs w:val="22"/>
              </w:rPr>
              <w:t xml:space="preserve"> </w:t>
            </w:r>
            <w:r w:rsidRPr="00135DCC">
              <w:rPr>
                <w:sz w:val="22"/>
                <w:szCs w:val="22"/>
                <w:lang w:val="en-US"/>
              </w:rPr>
              <w:t>x</w:t>
            </w:r>
            <w:r w:rsidRPr="00135DCC">
              <w:rPr>
                <w:sz w:val="22"/>
                <w:szCs w:val="22"/>
              </w:rPr>
              <w:t xml:space="preserve"> 400 - 1 шт., Экран подпружинен.ручной </w:t>
            </w:r>
            <w:r w:rsidRPr="00135DCC">
              <w:rPr>
                <w:sz w:val="22"/>
                <w:szCs w:val="22"/>
                <w:lang w:val="en-US"/>
              </w:rPr>
              <w:t>MW</w:t>
            </w:r>
            <w:r w:rsidRPr="00135DCC">
              <w:rPr>
                <w:sz w:val="22"/>
                <w:szCs w:val="22"/>
              </w:rPr>
              <w:t xml:space="preserve"> </w:t>
            </w:r>
            <w:r w:rsidRPr="00135DCC">
              <w:rPr>
                <w:sz w:val="22"/>
                <w:szCs w:val="22"/>
                <w:lang w:val="en-US"/>
              </w:rPr>
              <w:t>Cinerollo</w:t>
            </w:r>
            <w:r w:rsidRPr="00135DCC">
              <w:rPr>
                <w:sz w:val="22"/>
                <w:szCs w:val="22"/>
              </w:rPr>
              <w:t xml:space="preserve"> 200х200см (</w:t>
            </w:r>
            <w:r w:rsidRPr="00135DCC">
              <w:rPr>
                <w:sz w:val="22"/>
                <w:szCs w:val="22"/>
                <w:lang w:val="en-US"/>
              </w:rPr>
              <w:t>S</w:t>
            </w:r>
            <w:r w:rsidRPr="00135DCC">
              <w:rPr>
                <w:sz w:val="22"/>
                <w:szCs w:val="22"/>
              </w:rPr>
              <w:t>/</w:t>
            </w:r>
            <w:r w:rsidRPr="00135DCC">
              <w:rPr>
                <w:sz w:val="22"/>
                <w:szCs w:val="22"/>
                <w:lang w:val="en-US"/>
              </w:rPr>
              <w:t>N</w:t>
            </w:r>
            <w:r w:rsidRPr="00135DC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603551" w14:textId="77777777" w:rsidR="002C735C" w:rsidRPr="00135D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5D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133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1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911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13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Назовите основные этапы исторического развития концепции устойчивого развития.</w:t>
            </w:r>
          </w:p>
        </w:tc>
      </w:tr>
      <w:tr w:rsidR="009E6058" w14:paraId="090A3356" w14:textId="77777777" w:rsidTr="00F00293">
        <w:tc>
          <w:tcPr>
            <w:tcW w:w="562" w:type="dxa"/>
          </w:tcPr>
          <w:p w14:paraId="326948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C00780D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Почему социальная справедливость важна для устойчивого развития?</w:t>
            </w:r>
          </w:p>
        </w:tc>
      </w:tr>
      <w:tr w:rsidR="009E6058" w14:paraId="4DC7DD32" w14:textId="77777777" w:rsidTr="00F00293">
        <w:tc>
          <w:tcPr>
            <w:tcW w:w="562" w:type="dxa"/>
          </w:tcPr>
          <w:p w14:paraId="67602E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FF60FC5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Какие три ключевых аспекта включает в себя устойчивое развитие?</w:t>
            </w:r>
          </w:p>
        </w:tc>
      </w:tr>
      <w:tr w:rsidR="009E6058" w14:paraId="0C611EB9" w14:textId="77777777" w:rsidTr="00F00293">
        <w:tc>
          <w:tcPr>
            <w:tcW w:w="562" w:type="dxa"/>
          </w:tcPr>
          <w:p w14:paraId="077D9E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945F8A7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Какие программы ООН направлены на достижение целей устойчивого развития?</w:t>
            </w:r>
          </w:p>
        </w:tc>
      </w:tr>
      <w:tr w:rsidR="009E6058" w14:paraId="41ABD771" w14:textId="77777777" w:rsidTr="00F00293">
        <w:tc>
          <w:tcPr>
            <w:tcW w:w="562" w:type="dxa"/>
          </w:tcPr>
          <w:p w14:paraId="04E463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8B7790E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 Всемирный банк поддерживает устойчивое развитие?</w:t>
            </w:r>
          </w:p>
        </w:tc>
      </w:tr>
      <w:tr w:rsidR="009E6058" w14:paraId="5A7BFEB2" w14:textId="77777777" w:rsidTr="00F00293">
        <w:tc>
          <w:tcPr>
            <w:tcW w:w="562" w:type="dxa"/>
          </w:tcPr>
          <w:p w14:paraId="7874DD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6579F03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Назовите основные инициативы Всемирного банка в области устойчивого развития.</w:t>
            </w:r>
          </w:p>
        </w:tc>
      </w:tr>
      <w:tr w:rsidR="009E6058" w14:paraId="59A56C9C" w14:textId="77777777" w:rsidTr="00F00293">
        <w:tc>
          <w:tcPr>
            <w:tcW w:w="562" w:type="dxa"/>
          </w:tcPr>
          <w:p w14:paraId="61E6CC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E4EA1E3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Какие проекты реализует Программа развития ООН (</w:t>
            </w:r>
            <w:r>
              <w:rPr>
                <w:sz w:val="23"/>
                <w:szCs w:val="23"/>
                <w:lang w:val="en-US"/>
              </w:rPr>
              <w:t>UNDP</w:t>
            </w:r>
            <w:r w:rsidRPr="00135DCC">
              <w:rPr>
                <w:sz w:val="23"/>
                <w:szCs w:val="23"/>
              </w:rPr>
              <w:t>)?</w:t>
            </w:r>
          </w:p>
        </w:tc>
      </w:tr>
      <w:tr w:rsidR="009E6058" w14:paraId="28E352F7" w14:textId="77777777" w:rsidTr="00F00293">
        <w:tc>
          <w:tcPr>
            <w:tcW w:w="562" w:type="dxa"/>
          </w:tcPr>
          <w:p w14:paraId="3A4493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CD5FDB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Какие органы власти в РФ отвечают за реализацию политики устойчивого развития?</w:t>
            </w:r>
          </w:p>
        </w:tc>
      </w:tr>
      <w:tr w:rsidR="009E6058" w14:paraId="5CAE206E" w14:textId="77777777" w:rsidTr="00F00293">
        <w:tc>
          <w:tcPr>
            <w:tcW w:w="562" w:type="dxa"/>
          </w:tcPr>
          <w:p w14:paraId="33F29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CC0379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Какова роль региональных стратегий в устойчивом развитии?</w:t>
            </w:r>
          </w:p>
        </w:tc>
      </w:tr>
      <w:tr w:rsidR="009E6058" w14:paraId="78EE6860" w14:textId="77777777" w:rsidTr="00F00293">
        <w:tc>
          <w:tcPr>
            <w:tcW w:w="562" w:type="dxa"/>
          </w:tcPr>
          <w:p w14:paraId="1F1F16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6A81305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Какие вызовы стоят перед РФ в реализации принципов устойчивого развития?</w:t>
            </w:r>
          </w:p>
        </w:tc>
      </w:tr>
      <w:tr w:rsidR="009E6058" w14:paraId="453B7D43" w14:textId="77777777" w:rsidTr="00F00293">
        <w:tc>
          <w:tcPr>
            <w:tcW w:w="562" w:type="dxa"/>
          </w:tcPr>
          <w:p w14:paraId="6D2728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24D9435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Какие примеры КСО в российских компаниях вы знаете?</w:t>
            </w:r>
          </w:p>
        </w:tc>
      </w:tr>
      <w:tr w:rsidR="009E6058" w:rsidRPr="005E038B" w14:paraId="37F736D0" w14:textId="77777777" w:rsidTr="00F00293">
        <w:tc>
          <w:tcPr>
            <w:tcW w:w="562" w:type="dxa"/>
          </w:tcPr>
          <w:p w14:paraId="16413C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FAE2C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ESG (Environmental, Social, Governance)?</w:t>
            </w:r>
          </w:p>
        </w:tc>
      </w:tr>
      <w:tr w:rsidR="009E6058" w14:paraId="5D14DCD4" w14:textId="77777777" w:rsidTr="00F00293">
        <w:tc>
          <w:tcPr>
            <w:tcW w:w="562" w:type="dxa"/>
          </w:tcPr>
          <w:p w14:paraId="21FE8F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D2DA7E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Какие вызовы в здравоохранении препятствуют устойчивому развитию?</w:t>
            </w:r>
          </w:p>
        </w:tc>
      </w:tr>
      <w:tr w:rsidR="009E6058" w14:paraId="52D95A3F" w14:textId="77777777" w:rsidTr="00F00293">
        <w:tc>
          <w:tcPr>
            <w:tcW w:w="562" w:type="dxa"/>
          </w:tcPr>
          <w:p w14:paraId="04688E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A365EA3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 социальное обеспечение способствует устойчивому развитию?</w:t>
            </w:r>
          </w:p>
        </w:tc>
      </w:tr>
      <w:tr w:rsidR="009E6058" w14:paraId="2056A9FB" w14:textId="77777777" w:rsidTr="00F00293">
        <w:tc>
          <w:tcPr>
            <w:tcW w:w="562" w:type="dxa"/>
          </w:tcPr>
          <w:p w14:paraId="77680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76B04F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Почему социальная справедливость важна для устойчивого развития?</w:t>
            </w:r>
          </w:p>
        </w:tc>
      </w:tr>
      <w:tr w:rsidR="009E6058" w14:paraId="7CDE11BB" w14:textId="77777777" w:rsidTr="00F00293">
        <w:tc>
          <w:tcPr>
            <w:tcW w:w="562" w:type="dxa"/>
          </w:tcPr>
          <w:p w14:paraId="37C3CF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DFF7951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 экологические институты взаимодействуют с международными организациями?</w:t>
            </w:r>
          </w:p>
        </w:tc>
      </w:tr>
      <w:tr w:rsidR="009E6058" w14:paraId="6150F5ED" w14:textId="77777777" w:rsidTr="00F00293">
        <w:tc>
          <w:tcPr>
            <w:tcW w:w="562" w:type="dxa"/>
          </w:tcPr>
          <w:p w14:paraId="6E5B36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C38924A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Какие вызовы стоят перед экологическими институтами РФ?</w:t>
            </w:r>
          </w:p>
        </w:tc>
      </w:tr>
      <w:tr w:rsidR="009E6058" w14:paraId="00099C51" w14:textId="77777777" w:rsidTr="00F00293">
        <w:tc>
          <w:tcPr>
            <w:tcW w:w="562" w:type="dxa"/>
          </w:tcPr>
          <w:p w14:paraId="79F765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F08421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Какова роль общественных экологических организаций в РФ?</w:t>
            </w:r>
          </w:p>
        </w:tc>
      </w:tr>
      <w:tr w:rsidR="009E6058" w14:paraId="64AB2849" w14:textId="77777777" w:rsidTr="00F00293">
        <w:tc>
          <w:tcPr>
            <w:tcW w:w="562" w:type="dxa"/>
          </w:tcPr>
          <w:p w14:paraId="0BBE76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E79E28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 управление земельными ресурсами способствует устойчивому развитию?</w:t>
            </w:r>
          </w:p>
        </w:tc>
      </w:tr>
      <w:tr w:rsidR="009E6058" w14:paraId="62025E19" w14:textId="77777777" w:rsidTr="00F00293">
        <w:tc>
          <w:tcPr>
            <w:tcW w:w="562" w:type="dxa"/>
          </w:tcPr>
          <w:p w14:paraId="153552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9A3F532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Какие технологии используются для мониторинга состояния природных ресурсов?</w:t>
            </w:r>
          </w:p>
        </w:tc>
      </w:tr>
      <w:tr w:rsidR="009E6058" w14:paraId="5DDA0E68" w14:textId="77777777" w:rsidTr="00F00293">
        <w:tc>
          <w:tcPr>
            <w:tcW w:w="562" w:type="dxa"/>
          </w:tcPr>
          <w:p w14:paraId="0FE0C4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CD54C39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Какие цифровые платформы используются для управления природными ресурсами?</w:t>
            </w:r>
          </w:p>
        </w:tc>
      </w:tr>
      <w:tr w:rsidR="009E6058" w14:paraId="616693D8" w14:textId="77777777" w:rsidTr="00F00293">
        <w:tc>
          <w:tcPr>
            <w:tcW w:w="562" w:type="dxa"/>
          </w:tcPr>
          <w:p w14:paraId="116794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DBCDC91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 цифровые технологии способствуют энергоэффективности?</w:t>
            </w:r>
          </w:p>
        </w:tc>
      </w:tr>
      <w:tr w:rsidR="009E6058" w14:paraId="4149B27E" w14:textId="77777777" w:rsidTr="00F00293">
        <w:tc>
          <w:tcPr>
            <w:tcW w:w="562" w:type="dxa"/>
          </w:tcPr>
          <w:p w14:paraId="3742B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5A3A04F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Какие примеры успешных цифровых проектов в РФ вы знаете?</w:t>
            </w:r>
          </w:p>
        </w:tc>
      </w:tr>
      <w:tr w:rsidR="009E6058" w14:paraId="76BE7CFC" w14:textId="77777777" w:rsidTr="00F00293">
        <w:tc>
          <w:tcPr>
            <w:tcW w:w="562" w:type="dxa"/>
          </w:tcPr>
          <w:p w14:paraId="435163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4694D12" w14:textId="77777777" w:rsidR="009E6058" w:rsidRPr="00135DC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Как умные города способствуют энергоэффективности? Какова роль устойчивой инфраструктуры в умных городах?</w:t>
            </w:r>
            <w:r w:rsidRPr="00135DCC">
              <w:rPr>
                <w:sz w:val="23"/>
                <w:szCs w:val="23"/>
              </w:rPr>
              <w:br/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9113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5DC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9113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35DC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35DCC" w14:paraId="5A1C9382" w14:textId="77777777" w:rsidTr="00801458">
        <w:tc>
          <w:tcPr>
            <w:tcW w:w="2336" w:type="dxa"/>
          </w:tcPr>
          <w:p w14:paraId="4C518DAB" w14:textId="77777777" w:rsidR="005D65A5" w:rsidRPr="00135D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D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5D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D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35D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D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35D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D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5DCC" w14:paraId="07658034" w14:textId="77777777" w:rsidTr="00801458">
        <w:tc>
          <w:tcPr>
            <w:tcW w:w="2336" w:type="dxa"/>
          </w:tcPr>
          <w:p w14:paraId="1553D698" w14:textId="78F29BFB" w:rsidR="005D65A5" w:rsidRPr="00135D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5DCC" w:rsidRDefault="007478E0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35DCC" w:rsidRDefault="007478E0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35DCC" w:rsidRDefault="007478E0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5D65A5" w:rsidRPr="00135DCC" w14:paraId="51E16649" w14:textId="77777777" w:rsidTr="00801458">
        <w:tc>
          <w:tcPr>
            <w:tcW w:w="2336" w:type="dxa"/>
          </w:tcPr>
          <w:p w14:paraId="04CDBA66" w14:textId="77777777" w:rsidR="005D65A5" w:rsidRPr="00135D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748F47" w14:textId="77777777" w:rsidR="005D65A5" w:rsidRPr="00135DCC" w:rsidRDefault="007478E0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A987CA" w14:textId="77777777" w:rsidR="005D65A5" w:rsidRPr="00135DCC" w:rsidRDefault="007478E0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CB0090" w14:textId="77777777" w:rsidR="005D65A5" w:rsidRPr="00135DCC" w:rsidRDefault="007478E0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15-24</w:t>
            </w:r>
          </w:p>
        </w:tc>
      </w:tr>
      <w:tr w:rsidR="005D65A5" w:rsidRPr="00135DCC" w14:paraId="4B8421EF" w14:textId="77777777" w:rsidTr="00801458">
        <w:tc>
          <w:tcPr>
            <w:tcW w:w="2336" w:type="dxa"/>
          </w:tcPr>
          <w:p w14:paraId="4F1DCD6B" w14:textId="77777777" w:rsidR="005D65A5" w:rsidRPr="00135D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5E65FA" w14:textId="77777777" w:rsidR="005D65A5" w:rsidRPr="00135DCC" w:rsidRDefault="007478E0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7AF512" w14:textId="77777777" w:rsidR="005D65A5" w:rsidRPr="00135DCC" w:rsidRDefault="007478E0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1897CA" w14:textId="77777777" w:rsidR="005D65A5" w:rsidRPr="00135DCC" w:rsidRDefault="007478E0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1-24</w:t>
            </w:r>
          </w:p>
        </w:tc>
      </w:tr>
    </w:tbl>
    <w:p w14:paraId="6D01A11C" w14:textId="61720847" w:rsidR="00F56264" w:rsidRPr="00135DC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35DC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911338"/>
      <w:r w:rsidRPr="00135D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5DCC" w14:paraId="6F976557" w14:textId="77777777" w:rsidTr="0027206B">
        <w:tc>
          <w:tcPr>
            <w:tcW w:w="562" w:type="dxa"/>
          </w:tcPr>
          <w:p w14:paraId="5F103599" w14:textId="77777777" w:rsidR="00135DCC" w:rsidRPr="009E6058" w:rsidRDefault="00135DCC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BE51D08" w14:textId="77777777" w:rsidR="00135DCC" w:rsidRPr="00135DCC" w:rsidRDefault="00135DCC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5D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D8B122" w14:textId="77777777" w:rsidR="00135DCC" w:rsidRPr="00135DCC" w:rsidRDefault="00135DC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35DC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911339"/>
      <w:r w:rsidRPr="00135DC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35DC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35DCC" w14:paraId="0267C479" w14:textId="77777777" w:rsidTr="00801458">
        <w:tc>
          <w:tcPr>
            <w:tcW w:w="2500" w:type="pct"/>
          </w:tcPr>
          <w:p w14:paraId="37F699C9" w14:textId="77777777" w:rsidR="00B8237E" w:rsidRPr="00135D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D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35D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5D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5DCC" w14:paraId="3F240151" w14:textId="77777777" w:rsidTr="00801458">
        <w:tc>
          <w:tcPr>
            <w:tcW w:w="2500" w:type="pct"/>
          </w:tcPr>
          <w:p w14:paraId="61E91592" w14:textId="61A0874C" w:rsidR="00B8237E" w:rsidRPr="00135D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135DCC" w:rsidRDefault="005C548A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135DCC" w14:paraId="4BFDDC95" w14:textId="77777777" w:rsidTr="00801458">
        <w:tc>
          <w:tcPr>
            <w:tcW w:w="2500" w:type="pct"/>
          </w:tcPr>
          <w:p w14:paraId="58AAB801" w14:textId="77777777" w:rsidR="00B8237E" w:rsidRPr="00135D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861D38F" w14:textId="77777777" w:rsidR="00B8237E" w:rsidRPr="00135DCC" w:rsidRDefault="005C548A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135DCC" w14:paraId="5BBE9446" w14:textId="77777777" w:rsidTr="00801458">
        <w:tc>
          <w:tcPr>
            <w:tcW w:w="2500" w:type="pct"/>
          </w:tcPr>
          <w:p w14:paraId="65040C7B" w14:textId="77777777" w:rsidR="00B8237E" w:rsidRPr="00135D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675FA80B" w14:textId="77777777" w:rsidR="00B8237E" w:rsidRPr="00135DCC" w:rsidRDefault="005C548A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1-24</w:t>
            </w:r>
          </w:p>
        </w:tc>
      </w:tr>
      <w:tr w:rsidR="00B8237E" w:rsidRPr="00135DCC" w14:paraId="1BE31471" w14:textId="77777777" w:rsidTr="00801458">
        <w:tc>
          <w:tcPr>
            <w:tcW w:w="2500" w:type="pct"/>
          </w:tcPr>
          <w:p w14:paraId="394B18F2" w14:textId="77777777" w:rsidR="00B8237E" w:rsidRPr="00135D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1108DBC0" w14:textId="77777777" w:rsidR="00B8237E" w:rsidRPr="00135DCC" w:rsidRDefault="005C548A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B8237E" w:rsidRPr="00135DCC" w14:paraId="596EC5C8" w14:textId="77777777" w:rsidTr="00801458">
        <w:tc>
          <w:tcPr>
            <w:tcW w:w="2500" w:type="pct"/>
          </w:tcPr>
          <w:p w14:paraId="7193F5A9" w14:textId="77777777" w:rsidR="00B8237E" w:rsidRPr="00135DCC" w:rsidRDefault="00B8237E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4444097" w14:textId="77777777" w:rsidR="00B8237E" w:rsidRPr="00135DCC" w:rsidRDefault="005C548A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9-11</w:t>
            </w:r>
          </w:p>
        </w:tc>
      </w:tr>
      <w:tr w:rsidR="00B8237E" w:rsidRPr="00135DCC" w14:paraId="38064F16" w14:textId="77777777" w:rsidTr="00801458">
        <w:tc>
          <w:tcPr>
            <w:tcW w:w="2500" w:type="pct"/>
          </w:tcPr>
          <w:p w14:paraId="09A67D33" w14:textId="77777777" w:rsidR="00B8237E" w:rsidRPr="00135DCC" w:rsidRDefault="00B8237E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31DC473" w14:textId="77777777" w:rsidR="00B8237E" w:rsidRPr="00135DCC" w:rsidRDefault="005C548A" w:rsidP="00801458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>20-24</w:t>
            </w:r>
          </w:p>
        </w:tc>
      </w:tr>
      <w:tr w:rsidR="00135DCC" w:rsidRPr="00135DCC" w14:paraId="43D05483" w14:textId="77777777" w:rsidTr="00135DCC">
        <w:tc>
          <w:tcPr>
            <w:tcW w:w="2500" w:type="pct"/>
          </w:tcPr>
          <w:p w14:paraId="136F0559" w14:textId="7EC80764" w:rsidR="00135DCC" w:rsidRPr="00135DCC" w:rsidRDefault="00135DCC" w:rsidP="00135DCC">
            <w:pPr>
              <w:rPr>
                <w:rFonts w:ascii="Times New Roman" w:hAnsi="Times New Roman" w:cs="Times New Roman"/>
              </w:rPr>
            </w:pPr>
            <w:r w:rsidRPr="00135DCC">
              <w:rPr>
                <w:rFonts w:ascii="Times New Roman" w:hAnsi="Times New Roman" w:cs="Times New Roman"/>
                <w:lang w:val="en-US"/>
              </w:rPr>
              <w:t xml:space="preserve">Подготовка </w:t>
            </w:r>
            <w:r>
              <w:rPr>
                <w:rFonts w:ascii="Times New Roman" w:hAnsi="Times New Roman" w:cs="Times New Roman"/>
              </w:rPr>
              <w:t>к экзамену</w:t>
            </w:r>
          </w:p>
        </w:tc>
        <w:tc>
          <w:tcPr>
            <w:tcW w:w="2500" w:type="pct"/>
          </w:tcPr>
          <w:p w14:paraId="252CD411" w14:textId="7B700854" w:rsidR="00135DCC" w:rsidRPr="00135DCC" w:rsidRDefault="00135DCC" w:rsidP="002720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1-24</w:t>
            </w:r>
          </w:p>
        </w:tc>
      </w:tr>
    </w:tbl>
    <w:p w14:paraId="6EB485C6" w14:textId="6A0F7BEC" w:rsidR="00C23E7F" w:rsidRPr="00135DC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911340"/>
      <w:r w:rsidRPr="00135D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35DC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A92B29" w14:textId="77777777" w:rsidR="003D23FC" w:rsidRDefault="003D23FC" w:rsidP="00315CA6">
      <w:pPr>
        <w:spacing w:after="0" w:line="240" w:lineRule="auto"/>
      </w:pPr>
      <w:r>
        <w:separator/>
      </w:r>
    </w:p>
  </w:endnote>
  <w:endnote w:type="continuationSeparator" w:id="0">
    <w:p w14:paraId="7BFB6885" w14:textId="77777777" w:rsidR="003D23FC" w:rsidRDefault="003D23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38B">
          <w:rPr>
            <w:noProof/>
          </w:rPr>
          <w:t>23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6C2D9" w14:textId="77777777" w:rsidR="003D23FC" w:rsidRDefault="003D23FC" w:rsidP="00315CA6">
      <w:pPr>
        <w:spacing w:after="0" w:line="240" w:lineRule="auto"/>
      </w:pPr>
      <w:r>
        <w:separator/>
      </w:r>
    </w:p>
  </w:footnote>
  <w:footnote w:type="continuationSeparator" w:id="0">
    <w:p w14:paraId="0AE12C18" w14:textId="77777777" w:rsidR="003D23FC" w:rsidRDefault="003D23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4819"/>
    <w:rsid w:val="000E24FD"/>
    <w:rsid w:val="0010715C"/>
    <w:rsid w:val="001116DF"/>
    <w:rsid w:val="001129CD"/>
    <w:rsid w:val="0011347D"/>
    <w:rsid w:val="00115F8D"/>
    <w:rsid w:val="00135DC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23FC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38B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C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C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83266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4287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355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F3D87A-7ED5-43AD-9338-AA9FFABB2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6923</Words>
  <Characters>39462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